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中华人民共和国保守国家秘密法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sz w:val="32"/>
          <w:szCs w:val="32"/>
        </w:rPr>
      </w:pPr>
      <w:bookmarkStart w:id="0" w:name="第一章 总则"/>
      <w:bookmarkEnd w:id="0"/>
      <w:bookmarkStart w:id="1" w:name="2-1"/>
      <w:bookmarkEnd w:id="1"/>
      <w:r>
        <w:rPr>
          <w:i w:val="0"/>
          <w:iCs w:val="0"/>
          <w:caps w:val="0"/>
          <w:color w:val="333333"/>
          <w:spacing w:val="0"/>
          <w:sz w:val="32"/>
          <w:szCs w:val="32"/>
          <w:shd w:val="clear" w:fill="FFFFFF"/>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第一条　为了保守国家秘密，维护国家安全和利益，保障改革开放和社会主义现代化建设事业的顺利进行，根据宪法，制定本法。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第二条　国家秘密是关系国家安全和利益，依照法定程序确定，在一定时间内只限一定范围的人员知悉的事项。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第四条　保密工作坚持总体国家安全观，遵循党管保密、依法管理，积极防范、突出重点，技管并重、创新发展的原则，既确保国家秘密安全，又便利信息资源合理利用。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法律、行政法规规定公开的事项，应当依法公开。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第五条　国家秘密受法律保护。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一切国家机关和武装力量、各政党和各人民团体、企业事业组织和其他社会组织以及公民都有保密的义务。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任何危害国家秘密安全的行为，都必须受到法律追究。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第六条　国家保密行政管理部门主管全国的保密工作。县级以上地方各级保密行政管理部门主管本行政区域的保密工作。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第七条　国家机关和涉及国家秘密的单位（以下简称机关、单位）管理本机关和本单位的保密工作。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中央国家机关在其职权范围内管理或者指导本系统的保密工作。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第八条　机关、单位应当实行保密工作责任制，依法设置保密工作机构或者指定专人负责保密工作，健全保密管理制度，完善保密防护措施，开展保密宣传教育，加强保密监督检查。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第九条　国家采取多种形式加强保密宣传教育，将保密教育纳入国民教育体系和公务员教育培训体系，鼓励大众传播媒介面向社会进行保密宣传教育，普及保密知识，宣传保密法治，增强全社会的保密意识。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第十条　国家鼓励和支持保密科学技术研究和应用，提升自主创新能力，依法保护保密领域的知识产权。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第十一条　县级以上人民政府应当将保密工作纳入本级国民经济和社会发展规划，所需经费列入本级预算。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机关、单位开展保密工作所需经费应当列入本机关、本单位年度预算或者年度收支计划。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第十二条　国家加强保密人才培养和队伍建设，完善相关激励保障机制。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对在保守、保护国家秘密工作中做出突出贡献的组织和个人，按照国家有关规定给予表彰和奖励。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sz w:val="32"/>
          <w:szCs w:val="32"/>
        </w:rPr>
      </w:pPr>
      <w:bookmarkStart w:id="2" w:name="第二章 国家秘密的范围和密级"/>
      <w:bookmarkEnd w:id="2"/>
      <w:bookmarkStart w:id="3" w:name="2-2"/>
      <w:bookmarkEnd w:id="3"/>
      <w:r>
        <w:rPr>
          <w:i w:val="0"/>
          <w:iCs w:val="0"/>
          <w:caps w:val="0"/>
          <w:color w:val="333333"/>
          <w:spacing w:val="0"/>
          <w:sz w:val="32"/>
          <w:szCs w:val="32"/>
          <w:shd w:val="clear" w:fill="FFFFFF"/>
        </w:rPr>
        <w:t>第二章 国家秘密的范围和密级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第十三条　下列涉及国家安全和利益的事项，泄露后可能损害国家在政治、经济、国防、外交等领域的安全和利益的，应当确定为国家秘密：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（一）国家事务重大决策中的秘密事项；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（二）国防建设和武装力量活动中的秘密事项；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（三）外交和外事活动中的秘密事项以及对外承担保密义务的秘密事项；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（四）国民经济和社会发展中的秘密事项；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（五）科学技术中的秘密事项；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（六）维护国家安全活动和追查刑事犯罪中的秘密事项；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（七）经国家保密行政管理部门确定的其他秘密事项。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政党的秘密事项中符合前款规定的，属于国家秘密。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第十四条　国家秘密的密级分为绝密、机密、秘密三级。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第十五条　国家秘密及其密级的具体范围（以下简称保密事项范围），由国家保密行政管理部门单独或者会同有关中央国家机关规定。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军事方面的保密事项范围，由中央军事委员会规定。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保密事项范围的确定应当遵循必要、合理原则，科学论证评估，并根据情况变化及时调整。保密事项范围的规定应当在有关范围内公布。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第十六条　机关、单位主要负责人及其指定的人员为定密责任人，负责本机关、本单位的国家秘密确定、变更和解除工作。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机关、单位确定、变更和解除本机关、本单位的国家秘密，应当由承办人提出具体意见，经定密责任人审核批准。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第十七条　确定国家秘密的密级，应当遵守定密权限。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公安机关、国家安全机关在其工作范围内按照规定的权限确定国家秘密的密级。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第十八条　机关、单位执行上级确定的国家秘密事项或者办理其他机关、单位确定的国家秘密事项，需要派生定密的，应当根据所执行、办理的国家秘密事项的密级确定。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第十九条　机关、单位对所产生的国家秘密事项，应当按照保密事项范围的规定确定密级，同时确定保密期限和知悉范围；有条件的可以标注密点。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第二十条　国家秘密的保密期限，应当根据事项的性质和特点，按照维护国家安全和利益的需要，限定在必要的期限内；不能确定期限的，应当确定解密的条件。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国家秘密的保密期限，除另有规定外，绝密级不超过三十年，机密级不超过二十年，秘密级不超过十年。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机关、单位应当根据工作需要，确定具体的保密期限、解密时间或者解密条件。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机关、单位对在决定和处理有关事项工作过程中确定需要保密的事项，根据工作需要决定公开的，正式公布时即视为解密。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第二十一条　国家秘密的知悉范围，应当根据工作需要限定在最小范围。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国家秘密的知悉范围能够限定到具体人员的，限定到具体人员；不能限定到具体人员的，限定到机关、单位，由该机关、单位限定到具体人员。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国家秘密的知悉范围以外的人员，因工作需要知悉国家秘密的，应当经过机关、单位主要负责人或者其指定的人员批准。原定密机关、单位对扩大国家秘密的知悉范围有明确规定的，应当遵守其规定。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第二十二条　机关、单位对承载国家秘密的纸介质、光介质、电磁介质等载体（以下简称国家秘密载体）以及属于国家秘密的设备、产品，应当作出国家秘密标志。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涉及国家秘密的电子文件应当按照国家有关规定作出国家秘密标志。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不属于国家秘密的，不得作出国家秘密标志。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第二十三条　国家秘密的密级、保密期限和知悉范围，应当根据情况变化及时变更。国家秘密的密级、保密期限和知悉范围的变更，由原定密机关、单位决定，也可以由其上级机关决定。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国家秘密的密级、保密期限和知悉范围变更的，应当及时书面通知知悉范围内的机关、单位或者人员。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第二十四条　机关、单位应当每年审核所确定的国家秘密。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第二十五条　机关、单位对是否属于国家秘密或者属于何种密级不明确或者有争议的，由国家保密行政管理部门或者省、自治区、直辖市保密行政管理部门按照国家保密规定确定。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sz w:val="32"/>
          <w:szCs w:val="32"/>
        </w:rPr>
      </w:pPr>
      <w:bookmarkStart w:id="4" w:name="第三章 保密制度"/>
      <w:bookmarkEnd w:id="4"/>
      <w:bookmarkStart w:id="5" w:name="2-3"/>
      <w:bookmarkEnd w:id="5"/>
      <w:r>
        <w:rPr>
          <w:i w:val="0"/>
          <w:iCs w:val="0"/>
          <w:caps w:val="0"/>
          <w:color w:val="333333"/>
          <w:spacing w:val="0"/>
          <w:sz w:val="32"/>
          <w:szCs w:val="32"/>
          <w:shd w:val="clear" w:fill="FFFFFF"/>
        </w:rPr>
        <w:t>第三章 保密制度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第二十六条　国家秘密载体的制作、收发、传递、使用、复制、保存、维修和销毁，应当符合国家保密规定。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第二十七条　属于国家秘密的设备、产品的研制、生产、运输、使用、保存、维修和销毁，应当符合国家保密规定。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第二十八条　机关、单位应当加强对国家秘密载体的管理，任何组织和个人不得有下列行为：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（一）非法获取、持有国家秘密载体；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（二）买卖、转送或者私自销毁国家秘密载体；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（三）通过普通邮政、快递等无保密措施的渠道传递国家秘密载体；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（四）寄递、托运国家秘密载体出境；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（五）未经有关主管部门批准，携带、传递国家秘密载体出境；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（六）其他违反国家秘密载体保密规定的行为。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第二十九条　禁止非法复制、记录、存储国家秘密。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禁止未按照国家保密规定和标准采取有效保密措施，在互联网及其他公共信息网络或者有线和无线通信中传递国家秘密。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禁止在私人交往和通信中涉及国家秘密。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第三十条　存储、处理国家秘密的计算机信息系统（以下简称涉密信息系统）按照涉密程度实行分级保护。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涉密信息系统应当按照国家保密规定和标准规划、建设、运行、维护，并配备保密设施、设备。保密设施、设备应当与涉密信息系统同步规划、同步建设、同步运行。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涉密信息系统应当按照规定，经检查合格后，方可投入使用，并定期开展风险评估。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第三十一条　机关、单位应当加强对信息系统、信息设备的保密管理，建设保密自监管设施，及时发现并处置安全保密风险隐患。任何组织和个人不得有下列行为：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（一）未按照国家保密规定和标准采取有效保密措施，将涉密信息系统、涉密信息设备接入互联网及其他公共信息网络；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（二）未按照国家保密规定和标准采取有效保密措施，在涉密信息系统、涉密信息设备与互联网及其他公共信息网络之间进行信息交换；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（三）使用非涉密信息系统、非涉密信息设备存储或者处理国家秘密；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（四）擅自卸载、修改涉密信息系统的安全技术程序、管理程序；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（五）将未经安全技术处理的退出使用的涉密信息设备赠送、出售、丢弃或者改作其他用途；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（六）其他违反信息系统、信息设备保密规定的行为。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第三十二条　用于保护国家秘密的安全保密产品和保密技术装备应当符合国家保密规定和标准。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国家建立安全保密产品和保密技术装备抽检、复检制度，由国家保密行政管理部门设立或者授权的机构进行检测。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第三十三条　报刊、图书、音像制品、电子出版物的编辑、出版、印制、发行，广播节目、电视节目、电影的制作和播放，网络信息的制作、复制、发布、传播，应当遵守国家保密规定。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第三十五条　机关、单位应当依法对拟公开的信息进行保密审查，遵守国家保密规定。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第三十六条　开展涉及国家秘密的数据处理活动及其安全监管应当符合国家保密规定。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国家保密行政管理部门和省、自治区、直辖市保密行政管理部门会同有关主管部门建立安全保密防控机制，采取安全保密防控措施，防范数据汇聚、关联引发的泄密风险。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机关、单位应当对汇聚、关联后属于国家秘密事项的数据依法加强安全管理。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第三十七条　机关、单位向境外或者向境外在中国境内设立的组织、机构提供国家秘密，任用、聘用的境外人员因工作需要知悉国家秘密的，按照国家有关规定办理。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第三十八条　举办会议或者其他活动涉及国家秘密的，主办单位应当采取保密措施，并对参加人员进行保密教育，提出具体保密要求。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第三十九条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第四十条　军事禁区、军事管理区和属于国家秘密不对外开放的其他场所、部位，应当采取保密措施，未经有关部门批准，不得擅自决定对外开放或者扩大开放范围。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涉密军事设施及其他重要涉密单位周边区域应当按照国家保密规定加强保密管理。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第四十一条　从事涉及国家秘密业务的企业事业单位，应当具备相应的保密管理能力，遵守国家保密规定。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从事国家秘密载体制作、复制、维修、销毁，涉密信息系统集成，武器装备科研生产，或者涉密军事设施建设等涉及国家秘密业务的企业事业单位，应当经过审查批准，取得保密资质。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第四十二条　采购涉及国家秘密的货物、服务的机关、单位，直接涉及国家秘密的工程建设、设计、施工、监理等单位，应当遵守国家保密规定。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机关、单位委托企业事业单位从事涉及国家秘密的业务，应当与其签订保密协议，提出保密要求，采取保密措施。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第四十三条　在涉密岗位工作的人员（以下简称涉密人员），按照涉密程度分为核心涉密人员、重要涉密人员和一般涉密人员，实行分类管理。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任用、聘用涉密人员应当按照国家有关规定进行审查。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涉密人员应当具有良好的政治素质和品行，经过保密教育培训，具备胜任涉密岗位的工作能力和保密知识技能，签订保密承诺书，严格遵守国家保密规定，承担保密责任。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涉密人员的合法权益受法律保护。对因保密原因合法权益受到影响和限制的涉密人员，按照国家有关规定给予相应待遇或者补偿。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第四十四条　机关、单位应当建立健全涉密人员管理制度，明确涉密人员的权利、岗位责任和要求，对涉密人员履行职责情况开展经常性的监督检查。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第四十五条　涉密人员出境应当经有关部门批准，有关机关认为涉密人员出境将对国家安全造成危害或者对国家利益造成重大损失的，不得批准出境。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第四十六条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第四十七条　国家工作人员或者其他公民发现国家秘密已经泄露或者可能泄露时，应当立即采取补救措施并及时报告有关机关、单位。机关、单位接到报告后，应当立即作出处理，并及时向保密行政管理部门报告。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sz w:val="32"/>
          <w:szCs w:val="32"/>
        </w:rPr>
      </w:pPr>
      <w:bookmarkStart w:id="6" w:name="2-4"/>
      <w:bookmarkEnd w:id="6"/>
      <w:bookmarkStart w:id="7" w:name="第四章 监督管理"/>
      <w:bookmarkEnd w:id="7"/>
      <w:r>
        <w:rPr>
          <w:i w:val="0"/>
          <w:iCs w:val="0"/>
          <w:caps w:val="0"/>
          <w:color w:val="333333"/>
          <w:spacing w:val="0"/>
          <w:sz w:val="32"/>
          <w:szCs w:val="32"/>
          <w:shd w:val="clear" w:fill="FFFFFF"/>
        </w:rPr>
        <w:t>第四章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第四十八条　国家保密行政管理部门依照法律、行政法规的规定，制定保密规章和国家保密标准。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第四十九条　保密行政管理部门依法组织开展保密宣传教育、保密检查、保密技术防护、保密违法案件调查处理工作，对保密工作进行指导和监督管理。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第五十条　保密行政管理部门发现国家秘密确定、变更或者解除不当的，应当及时通知有关机关、单位予以纠正。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对严重违反国家保密规定的涉密人员，保密行政管理部门应当建议有关机关、单位将其调离涉密岗位。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有关机关、单位和个人应当配合保密行政管理部门依法履行职责。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第五十二条　保密行政管理部门在保密检查和案件调查处理中，可以依法查阅有关材料、询问人员、记录情况，先行登记保存有关设施、设备、文件资料等；必要时，可以进行保密技术检测。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第五十三条　办理涉嫌泄露国家秘密案件的机关，需要对有关事项是否属于国家秘密、属于何种密级进行鉴定的，由国家保密行政管理部门或者省、自治区、直辖市保密行政管理部门鉴定。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第五十五条　设区的市级以上保密行政管理部门建立保密风险评估机制、监测预警制度、应急处置制度，会同有关部门开展信息收集、分析、通报工作。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第五十六条　保密协会等行业组织依照法律、行政法规的规定开展活动，推动行业自律，促进行业健康发展。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sz w:val="32"/>
          <w:szCs w:val="32"/>
        </w:rPr>
      </w:pPr>
      <w:bookmarkStart w:id="8" w:name="2-5"/>
      <w:bookmarkEnd w:id="8"/>
      <w:bookmarkStart w:id="9" w:name="第五章 法律责任"/>
      <w:bookmarkEnd w:id="9"/>
      <w:r>
        <w:rPr>
          <w:i w:val="0"/>
          <w:iCs w:val="0"/>
          <w:caps w:val="0"/>
          <w:color w:val="333333"/>
          <w:spacing w:val="0"/>
          <w:sz w:val="32"/>
          <w:szCs w:val="32"/>
          <w:shd w:val="clear" w:fill="FFFFFF"/>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　第五十七条　违反本法规定，有下列情形之一，根据情节轻重，依法给予处分；有违法所得的，没收违法所得：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（一）非法获取、持有国家秘密载体的；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（二）买卖、转送或者私自销毁国家秘密载体的；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（三）通过普通邮政、快递等无保密措施的渠道传递国家秘密载体的；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（四）寄递、托运国家秘密载体出境，或者未经有关主管部门批准，携带、传递国家秘密载体出境的；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（五）非法复制、记录、存储国家秘密的；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（六）在私人交往和通信中涉及国家秘密的；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（七）未按照国家保密规定和标准采取有效保密措施，在互联网及其他公共信息网络或者有线和无线通信中传递国家秘密的；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（八）未按照国家保密规定和标准采取有效保密措施，将涉密信息系统、涉密信息设备接入互联网及其他公共信息网络的；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（九）未按照国家保密规定和标准采取有效保密措施，在涉密信息系统、涉密信息设备与互联网及其他公共信息网络之间进行信息交换的；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（十）使用非涉密信息系统、非涉密信息设备存储、处理国家秘密的；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（十一）擅自卸载、修改涉密信息系统的安全技术程序、管理程序的；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（十二）将未经安全技术处理的退出使用的涉密信息设备赠送、出售、丢弃或者改作其他用途的；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（十三）其他违反本法规定的情形。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有前款情形尚不构成犯罪，且不适用处分的人员，由保密行政管理部门督促其所在机关、单位予以处理。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第五十八条　机关、单位违反本法规定，发生重大泄露国家秘密案件的，依法对直接负责的主管人员和其他直接责任人员给予处分。不适用处分的人员，由保密行政管理部门督促其主管部门予以处理。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机关、单位违反本法规定，对应当定密的事项不定密，对不应当定密的事项定密，或者未履行解密审核责任，造成严重后果的，依法对直接负责的主管人员和其他直接责任人员给予处分。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第五十九条　网络运营者违反本法第三十四条规定的，由公安机关、国家安全机关、电信主管部门、保密行政管理部门按照各自职责分工依法予以处罚。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未取得保密资质的企业事业单位违法从事本法第四十一条第二款规定的涉密业务的，由保密行政管理部门责令停止涉密业务，给予警告或者通报批评；有违法所得的，没收违法所得。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第六十一条　保密行政管理部门的工作人员在履行保密管理职责中滥用职权、玩忽职守、徇私舞弊的，依法给予处分。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第六十二条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sz w:val="32"/>
          <w:szCs w:val="32"/>
        </w:rPr>
      </w:pPr>
      <w:bookmarkStart w:id="10" w:name="第六章 附则"/>
      <w:bookmarkEnd w:id="10"/>
      <w:bookmarkStart w:id="11" w:name="2-6"/>
      <w:bookmarkEnd w:id="11"/>
      <w:r>
        <w:rPr>
          <w:i w:val="0"/>
          <w:iCs w:val="0"/>
          <w:caps w:val="0"/>
          <w:color w:val="333333"/>
          <w:spacing w:val="0"/>
          <w:sz w:val="32"/>
          <w:szCs w:val="32"/>
          <w:shd w:val="clear" w:fill="FFFFFF"/>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第六十三条　中国人民解放军和中国人民武装警察部队开展保密工作的具体规定，由中央军事委员会根据本法制定。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第六十四条　机关、单位对履行职能过程中产生或者获取的不属于国家秘密但泄露后会造成一定不利影响的事项，适用工作秘密管理办法采取必要的保护措施。工作秘密管理办法另行规定。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kern w:val="0"/>
          <w:sz w:val="32"/>
          <w:szCs w:val="32"/>
          <w:shd w:val="clear" w:fill="FFFFFF"/>
          <w:lang w:val="en-US" w:eastAsia="zh-CN" w:bidi="ar"/>
        </w:rPr>
      </w:pPr>
      <w:r>
        <w:rPr>
          <w:rFonts w:hint="default" w:ascii="Helvetica" w:hAnsi="Helvetica" w:eastAsia="Helvetica" w:cs="Helvetica"/>
          <w:i w:val="0"/>
          <w:iCs w:val="0"/>
          <w:caps w:val="0"/>
          <w:color w:val="333333"/>
          <w:spacing w:val="0"/>
          <w:kern w:val="0"/>
          <w:sz w:val="32"/>
          <w:szCs w:val="32"/>
          <w:shd w:val="clear" w:fill="FFFFFF"/>
          <w:lang w:val="en-US" w:eastAsia="zh-CN" w:bidi="ar"/>
        </w:rPr>
        <w:t>第六十五条　本法自2024年5月1日起施行。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both"/>
        <w:rPr>
          <w:rFonts w:hint="default" w:ascii="Helvetica" w:hAnsi="Helvetica" w:eastAsia="Helvetica" w:cs="Helvetica"/>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i w:val="0"/>
          <w:iCs w:val="0"/>
          <w:caps w:val="0"/>
          <w:color w:val="333333"/>
          <w:spacing w:val="0"/>
          <w:kern w:val="0"/>
          <w:sz w:val="32"/>
          <w:szCs w:val="32"/>
          <w:shd w:val="clear" w:fill="FFFFFF"/>
          <w:lang w:val="en-US" w:eastAsia="zh-CN" w:bidi="ar"/>
        </w:rPr>
      </w:pPr>
      <w:bookmarkStart w:id="12" w:name="_GoBack"/>
      <w:r>
        <w:rPr>
          <w:rFonts w:ascii="Arial" w:hAnsi="Arial" w:eastAsia="宋体" w:cs="Arial"/>
          <w:i w:val="0"/>
          <w:iCs w:val="0"/>
          <w:caps w:val="0"/>
          <w:color w:val="333333"/>
          <w:spacing w:val="0"/>
          <w:sz w:val="24"/>
          <w:szCs w:val="24"/>
          <w:shd w:val="clear" w:fill="FFFFFF"/>
        </w:rPr>
        <w:drawing>
          <wp:inline distT="0" distB="0" distL="114300" distR="114300">
            <wp:extent cx="5149215" cy="9156065"/>
            <wp:effectExtent l="0" t="0" r="1333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149215" cy="9156065"/>
                    </a:xfrm>
                    <a:prstGeom prst="rect">
                      <a:avLst/>
                    </a:prstGeom>
                    <a:noFill/>
                    <a:ln w="9525">
                      <a:noFill/>
                    </a:ln>
                  </pic:spPr>
                </pic:pic>
              </a:graphicData>
            </a:graphic>
          </wp:inline>
        </w:drawing>
      </w:r>
      <w:bookmarkEnd w:id="12"/>
    </w:p>
    <w:p>
      <w:pPr>
        <w:spacing w:line="220" w:lineRule="atLeast"/>
        <w:jc w:val="both"/>
        <w:rPr>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65CC3719"/>
    <w:rsid w:val="6F8E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张晓洁</cp:lastModifiedBy>
  <dcterms:modified xsi:type="dcterms:W3CDTF">2024-05-07T02:05:10Z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729F40B80647437CB0ABD70FCA7C0BD6</vt:lpwstr>
  </property>
</Properties>
</file>