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default" w:ascii="方正小标宋简体" w:hAnsi="方正小标宋简体" w:eastAsia="方正小标宋简体" w:cs="方正小标宋简体"/>
          <w:sz w:val="40"/>
          <w:szCs w:val="40"/>
          <w:lang w:val="en-US" w:eastAsia="zh-CN" w:bidi="ar-SA"/>
        </w:rPr>
      </w:pPr>
      <w:r>
        <w:rPr>
          <w:rFonts w:hint="default" w:ascii="方正小标宋简体" w:hAnsi="方正小标宋简体" w:eastAsia="方正小标宋简体" w:cs="方正小标宋简体"/>
          <w:sz w:val="40"/>
          <w:szCs w:val="40"/>
          <w:lang w:val="en-US" w:eastAsia="zh-CN" w:bidi="ar-SA"/>
        </w:rPr>
        <w:t>中华人民共和国土地管理法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w:t>
      </w:r>
      <w:r>
        <w:rPr>
          <w:rFonts w:hint="default" w:ascii="仿宋_GB2312" w:hAnsi="仿宋_GB2312" w:eastAsia="仿宋_GB2312" w:cs="仿宋_GB2312"/>
          <w:sz w:val="32"/>
          <w:szCs w:val="32"/>
          <w:lang w:val="en-US" w:eastAsia="zh-CN" w:bidi="ar-SA"/>
        </w:rPr>
        <w:t>1986</w:t>
      </w:r>
      <w:r>
        <w:rPr>
          <w:rFonts w:hint="eastAsia" w:ascii="仿宋_GB2312" w:hAnsi="仿宋_GB2312" w:eastAsia="仿宋_GB2312" w:cs="仿宋_GB2312"/>
          <w:sz w:val="32"/>
          <w:szCs w:val="32"/>
          <w:lang w:val="en-US" w:eastAsia="zh-CN" w:bidi="ar-SA"/>
        </w:rPr>
        <w:t>年</w:t>
      </w:r>
      <w:r>
        <w:rPr>
          <w:rFonts w:hint="default" w:ascii="仿宋_GB2312" w:hAnsi="仿宋_GB2312" w:eastAsia="仿宋_GB2312" w:cs="仿宋_GB2312"/>
          <w:sz w:val="32"/>
          <w:szCs w:val="32"/>
          <w:lang w:val="en-US" w:eastAsia="zh-CN" w:bidi="ar-SA"/>
        </w:rPr>
        <w:t>6</w:t>
      </w:r>
      <w:r>
        <w:rPr>
          <w:rFonts w:hint="eastAsia" w:ascii="仿宋_GB2312" w:hAnsi="仿宋_GB2312" w:eastAsia="仿宋_GB2312" w:cs="仿宋_GB2312"/>
          <w:sz w:val="32"/>
          <w:szCs w:val="32"/>
          <w:lang w:val="en-US" w:eastAsia="zh-CN" w:bidi="ar-SA"/>
        </w:rPr>
        <w:t>月</w:t>
      </w:r>
      <w:r>
        <w:rPr>
          <w:rFonts w:hint="default" w:ascii="仿宋_GB2312" w:hAnsi="仿宋_GB2312" w:eastAsia="仿宋_GB2312" w:cs="仿宋_GB2312"/>
          <w:sz w:val="32"/>
          <w:szCs w:val="32"/>
          <w:lang w:val="en-US" w:eastAsia="zh-CN" w:bidi="ar-SA"/>
        </w:rPr>
        <w:t>25</w:t>
      </w:r>
      <w:r>
        <w:rPr>
          <w:rFonts w:hint="eastAsia" w:ascii="仿宋_GB2312" w:hAnsi="仿宋_GB2312" w:eastAsia="仿宋_GB2312" w:cs="仿宋_GB2312"/>
          <w:sz w:val="32"/>
          <w:szCs w:val="32"/>
          <w:lang w:val="en-US" w:eastAsia="zh-CN" w:bidi="ar-SA"/>
        </w:rPr>
        <w:t>日第六届全国人民代表大会常务委员会第十六次会议通过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w:t>
      </w:r>
      <w:r>
        <w:rPr>
          <w:rFonts w:hint="default" w:ascii="仿宋_GB2312" w:hAnsi="仿宋_GB2312" w:eastAsia="仿宋_GB2312" w:cs="仿宋_GB2312"/>
          <w:sz w:val="32"/>
          <w:szCs w:val="32"/>
          <w:lang w:val="en-US" w:eastAsia="zh-CN" w:bidi="ar-SA"/>
        </w:rPr>
        <w:t>1988</w:t>
      </w:r>
      <w:r>
        <w:rPr>
          <w:rFonts w:hint="eastAsia" w:ascii="仿宋_GB2312" w:hAnsi="仿宋_GB2312" w:eastAsia="仿宋_GB2312" w:cs="仿宋_GB2312"/>
          <w:sz w:val="32"/>
          <w:szCs w:val="32"/>
          <w:lang w:val="en-US" w:eastAsia="zh-CN" w:bidi="ar-SA"/>
        </w:rPr>
        <w:t>年</w:t>
      </w:r>
      <w:r>
        <w:rPr>
          <w:rFonts w:hint="default" w:ascii="仿宋_GB2312" w:hAnsi="仿宋_GB2312" w:eastAsia="仿宋_GB2312" w:cs="仿宋_GB2312"/>
          <w:sz w:val="32"/>
          <w:szCs w:val="32"/>
          <w:lang w:val="en-US" w:eastAsia="zh-CN" w:bidi="ar-SA"/>
        </w:rPr>
        <w:t>12</w:t>
      </w:r>
      <w:r>
        <w:rPr>
          <w:rFonts w:hint="eastAsia" w:ascii="仿宋_GB2312" w:hAnsi="仿宋_GB2312" w:eastAsia="仿宋_GB2312" w:cs="仿宋_GB2312"/>
          <w:sz w:val="32"/>
          <w:szCs w:val="32"/>
          <w:lang w:val="en-US" w:eastAsia="zh-CN" w:bidi="ar-SA"/>
        </w:rPr>
        <w:t>月</w:t>
      </w:r>
      <w:r>
        <w:rPr>
          <w:rFonts w:hint="default" w:ascii="仿宋_GB2312" w:hAnsi="仿宋_GB2312" w:eastAsia="仿宋_GB2312" w:cs="仿宋_GB2312"/>
          <w:sz w:val="32"/>
          <w:szCs w:val="32"/>
          <w:lang w:val="en-US" w:eastAsia="zh-CN" w:bidi="ar-SA"/>
        </w:rPr>
        <w:t>29</w:t>
      </w:r>
      <w:r>
        <w:rPr>
          <w:rFonts w:hint="eastAsia" w:ascii="仿宋_GB2312" w:hAnsi="仿宋_GB2312" w:eastAsia="仿宋_GB2312" w:cs="仿宋_GB2312"/>
          <w:sz w:val="32"/>
          <w:szCs w:val="32"/>
          <w:lang w:val="en-US" w:eastAsia="zh-CN" w:bidi="ar-SA"/>
        </w:rPr>
        <w:t>日第七届全国人民代表大会常务委员会第五次会议《关于修改〈中华人民共和国土地管理法〉的决定》第一次修正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default" w:ascii="仿宋_GB2312" w:hAnsi="仿宋_GB2312" w:eastAsia="仿宋_GB2312" w:cs="仿宋_GB2312"/>
          <w:sz w:val="32"/>
          <w:szCs w:val="32"/>
          <w:lang w:val="en-US" w:eastAsia="zh-CN" w:bidi="ar-SA"/>
        </w:rPr>
        <w:t>1998</w:t>
      </w:r>
      <w:r>
        <w:rPr>
          <w:rFonts w:hint="eastAsia" w:ascii="仿宋_GB2312" w:hAnsi="仿宋_GB2312" w:eastAsia="仿宋_GB2312" w:cs="仿宋_GB2312"/>
          <w:sz w:val="32"/>
          <w:szCs w:val="32"/>
          <w:lang w:val="en-US" w:eastAsia="zh-CN" w:bidi="ar-SA"/>
        </w:rPr>
        <w:t>年</w:t>
      </w:r>
      <w:r>
        <w:rPr>
          <w:rFonts w:hint="default" w:ascii="仿宋_GB2312" w:hAnsi="仿宋_GB2312" w:eastAsia="仿宋_GB2312" w:cs="仿宋_GB2312"/>
          <w:sz w:val="32"/>
          <w:szCs w:val="32"/>
          <w:lang w:val="en-US" w:eastAsia="zh-CN" w:bidi="ar-SA"/>
        </w:rPr>
        <w:t>8</w:t>
      </w:r>
      <w:r>
        <w:rPr>
          <w:rFonts w:hint="eastAsia" w:ascii="仿宋_GB2312" w:hAnsi="仿宋_GB2312" w:eastAsia="仿宋_GB2312" w:cs="仿宋_GB2312"/>
          <w:sz w:val="32"/>
          <w:szCs w:val="32"/>
          <w:lang w:val="en-US" w:eastAsia="zh-CN" w:bidi="ar-SA"/>
        </w:rPr>
        <w:t>月</w:t>
      </w:r>
      <w:r>
        <w:rPr>
          <w:rFonts w:hint="default" w:ascii="仿宋_GB2312" w:hAnsi="仿宋_GB2312" w:eastAsia="仿宋_GB2312" w:cs="仿宋_GB2312"/>
          <w:sz w:val="32"/>
          <w:szCs w:val="32"/>
          <w:lang w:val="en-US" w:eastAsia="zh-CN" w:bidi="ar-SA"/>
        </w:rPr>
        <w:t>29</w:t>
      </w:r>
      <w:r>
        <w:rPr>
          <w:rFonts w:hint="eastAsia" w:ascii="仿宋_GB2312" w:hAnsi="仿宋_GB2312" w:eastAsia="仿宋_GB2312" w:cs="仿宋_GB2312"/>
          <w:sz w:val="32"/>
          <w:szCs w:val="32"/>
          <w:lang w:val="en-US" w:eastAsia="zh-CN" w:bidi="ar-SA"/>
        </w:rPr>
        <w:t>日第九届全国人民</w:t>
      </w:r>
      <w:bookmarkStart w:id="8" w:name="_GoBack"/>
      <w:bookmarkEnd w:id="8"/>
      <w:r>
        <w:rPr>
          <w:rFonts w:hint="eastAsia" w:ascii="仿宋_GB2312" w:hAnsi="仿宋_GB2312" w:eastAsia="仿宋_GB2312" w:cs="仿宋_GB2312"/>
          <w:sz w:val="32"/>
          <w:szCs w:val="32"/>
          <w:lang w:val="en-US" w:eastAsia="zh-CN" w:bidi="ar-SA"/>
        </w:rPr>
        <w:t>代表大会常务委员会第四次会议修订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w:t>
      </w:r>
      <w:r>
        <w:rPr>
          <w:rFonts w:hint="default" w:ascii="仿宋_GB2312" w:hAnsi="仿宋_GB2312" w:eastAsia="仿宋_GB2312" w:cs="仿宋_GB2312"/>
          <w:sz w:val="32"/>
          <w:szCs w:val="32"/>
          <w:lang w:val="en-US" w:eastAsia="zh-CN" w:bidi="ar-SA"/>
        </w:rPr>
        <w:t>2004</w:t>
      </w:r>
      <w:r>
        <w:rPr>
          <w:rFonts w:hint="eastAsia" w:ascii="仿宋_GB2312" w:hAnsi="仿宋_GB2312" w:eastAsia="仿宋_GB2312" w:cs="仿宋_GB2312"/>
          <w:sz w:val="32"/>
          <w:szCs w:val="32"/>
          <w:lang w:val="en-US" w:eastAsia="zh-CN" w:bidi="ar-SA"/>
        </w:rPr>
        <w:t>年</w:t>
      </w:r>
      <w:r>
        <w:rPr>
          <w:rFonts w:hint="default" w:ascii="仿宋_GB2312" w:hAnsi="仿宋_GB2312" w:eastAsia="仿宋_GB2312" w:cs="仿宋_GB2312"/>
          <w:sz w:val="32"/>
          <w:szCs w:val="32"/>
          <w:lang w:val="en-US" w:eastAsia="zh-CN" w:bidi="ar-SA"/>
        </w:rPr>
        <w:t>8</w:t>
      </w:r>
      <w:r>
        <w:rPr>
          <w:rFonts w:hint="eastAsia" w:ascii="仿宋_GB2312" w:hAnsi="仿宋_GB2312" w:eastAsia="仿宋_GB2312" w:cs="仿宋_GB2312"/>
          <w:sz w:val="32"/>
          <w:szCs w:val="32"/>
          <w:lang w:val="en-US" w:eastAsia="zh-CN" w:bidi="ar-SA"/>
        </w:rPr>
        <w:t>月</w:t>
      </w:r>
      <w:r>
        <w:rPr>
          <w:rFonts w:hint="default" w:ascii="仿宋_GB2312" w:hAnsi="仿宋_GB2312" w:eastAsia="仿宋_GB2312" w:cs="仿宋_GB2312"/>
          <w:sz w:val="32"/>
          <w:szCs w:val="32"/>
          <w:lang w:val="en-US" w:eastAsia="zh-CN" w:bidi="ar-SA"/>
        </w:rPr>
        <w:t>28</w:t>
      </w:r>
      <w:r>
        <w:rPr>
          <w:rFonts w:hint="eastAsia" w:ascii="仿宋_GB2312" w:hAnsi="仿宋_GB2312" w:eastAsia="仿宋_GB2312" w:cs="仿宋_GB2312"/>
          <w:sz w:val="32"/>
          <w:szCs w:val="32"/>
          <w:lang w:val="en-US" w:eastAsia="zh-CN" w:bidi="ar-SA"/>
        </w:rPr>
        <w:t>日第十届全国人民代表大会常务委员会第十一次会议《关于修改〈中华人民共和国土地管理法〉的决定》第二次修正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w:t>
      </w:r>
      <w:r>
        <w:rPr>
          <w:rFonts w:hint="default" w:ascii="仿宋_GB2312" w:hAnsi="仿宋_GB2312" w:eastAsia="仿宋_GB2312" w:cs="仿宋_GB2312"/>
          <w:sz w:val="32"/>
          <w:szCs w:val="32"/>
          <w:lang w:val="en-US" w:eastAsia="zh-CN" w:bidi="ar-SA"/>
        </w:rPr>
        <w:t>2019</w:t>
      </w:r>
      <w:r>
        <w:rPr>
          <w:rFonts w:hint="eastAsia" w:ascii="仿宋_GB2312" w:hAnsi="仿宋_GB2312" w:eastAsia="仿宋_GB2312" w:cs="仿宋_GB2312"/>
          <w:sz w:val="32"/>
          <w:szCs w:val="32"/>
          <w:lang w:val="en-US" w:eastAsia="zh-CN" w:bidi="ar-SA"/>
        </w:rPr>
        <w:t>年</w:t>
      </w:r>
      <w:r>
        <w:rPr>
          <w:rFonts w:hint="default" w:ascii="仿宋_GB2312" w:hAnsi="仿宋_GB2312" w:eastAsia="仿宋_GB2312" w:cs="仿宋_GB2312"/>
          <w:sz w:val="32"/>
          <w:szCs w:val="32"/>
          <w:lang w:val="en-US" w:eastAsia="zh-CN" w:bidi="ar-SA"/>
        </w:rPr>
        <w:t>8</w:t>
      </w:r>
      <w:r>
        <w:rPr>
          <w:rFonts w:hint="eastAsia" w:ascii="仿宋_GB2312" w:hAnsi="仿宋_GB2312" w:eastAsia="仿宋_GB2312" w:cs="仿宋_GB2312"/>
          <w:sz w:val="32"/>
          <w:szCs w:val="32"/>
          <w:lang w:val="en-US" w:eastAsia="zh-CN" w:bidi="ar-SA"/>
        </w:rPr>
        <w:t>月</w:t>
      </w:r>
      <w:r>
        <w:rPr>
          <w:rFonts w:hint="default" w:ascii="仿宋_GB2312" w:hAnsi="仿宋_GB2312" w:eastAsia="仿宋_GB2312" w:cs="仿宋_GB2312"/>
          <w:sz w:val="32"/>
          <w:szCs w:val="32"/>
          <w:lang w:val="en-US" w:eastAsia="zh-CN" w:bidi="ar-SA"/>
        </w:rPr>
        <w:t>26</w:t>
      </w:r>
      <w:r>
        <w:rPr>
          <w:rFonts w:hint="eastAsia" w:ascii="仿宋_GB2312" w:hAnsi="仿宋_GB2312" w:eastAsia="仿宋_GB2312" w:cs="仿宋_GB2312"/>
          <w:sz w:val="32"/>
          <w:szCs w:val="32"/>
          <w:lang w:val="en-US" w:eastAsia="zh-CN" w:bidi="ar-SA"/>
        </w:rPr>
        <w:t>日第十三届全国人民代表大会常务委员会第十二次会议《关于修改〈中华人民共和国土地管理法〉、〈中华人民共和国城市房地产管理法〉的决定》第三次修正）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default" w:ascii="仿宋_GB2312" w:hAnsi="仿宋_GB2312" w:eastAsia="仿宋_GB2312" w:cs="仿宋_GB231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bookmarkStart w:id="0" w:name="2724405-2875897-3_1"/>
      <w:bookmarkEnd w:id="0"/>
      <w:bookmarkStart w:id="1" w:name="2724405-2875897-3_2"/>
      <w:bookmarkEnd w:id="1"/>
      <w:r>
        <w:rPr>
          <w:rFonts w:hint="eastAsia" w:ascii="黑体" w:hAnsi="黑体" w:eastAsia="黑体" w:cs="黑体"/>
          <w:sz w:val="32"/>
          <w:szCs w:val="32"/>
          <w:lang w:val="en-US" w:eastAsia="zh-CN" w:bidi="ar-SA"/>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为了加强土地管理，维护土地的社会主义公有制，保护、开发土地资源，合理利用土地，切实保护耕地，促进社会经济的可持续发展，根据宪法，制定本法。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中华人民共和国实行土地的</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"https://baike.so.com/doc/4354824-4560179.html"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社会主义公有制</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，即全民所有制和劳动群众集体所有制。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全民所有，即国家所有土地的所有权由国务院代表国家行使。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任何单位和个人不得侵占、买卖或者以其他形式非法转让土地。土地使用权可以依法转让。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国家为了公共利益的需要，可以依法对土地实行征收或者征用并给予补偿。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国家依法实行国有土地有偿使用制度。但是，国家在法律规定的范围内划拨国有土地使用权的除外。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十分珍惜、合理利用土地和切实保护耕地是我国的基本国策。各级人民政府应当采取措施，全面规划，严格管理，保护、开发土地资源，制止非法占用土地的行为。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国家实行土地用途管制制度。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国家编制土地利用总体规划，规定土地用途，将土地分为农用地、建设用地和未利用地。严格限制农用地转为建设用地，控制建设用地总量，对耕地实行特殊保护。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所称农用地是指直接用于农业生产的土地，包括耕地、林地、草地、农田水利用地、养殖水面等；建设用地是指建造建筑物、构筑物的土地，包括城乡住宅和公共设施用地、工矿用地、交通水利设施用地、旅游用地、军事设施用地等；未利用地是指农用地和建设用地以外的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使用土地的单位和个人必须严格按照土地利用总体规划确定的用途使用土地。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国务院自然资源主管部门统一负责全国土地的管理和监督工作。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县级以上地方人民政府自然资源主管部门的设置及其职责，由省、自治区、直辖市人民政府根据国务院有关规定确定。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国务院授权的机构对省、自治区、直辖市人民政府以及国务院确定的城市人民政府土地利用和土地管理情况进行督察。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任何单位和个人都有遵守土地管理法律、法规的义务，并有权对违反土地管理法律、法规的行为提出检举和控告。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在保护和开发土地资源、合理利用土地以及进行有关的科学研究等方面成绩显著的单位和个人，由人民政府给予奖励。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bookmarkStart w:id="2" w:name="2724405-2875897-3_3"/>
      <w:bookmarkEnd w:id="2"/>
      <w:r>
        <w:rPr>
          <w:rFonts w:hint="eastAsia" w:ascii="黑体" w:hAnsi="黑体" w:eastAsia="黑体" w:cs="黑体"/>
          <w:sz w:val="32"/>
          <w:szCs w:val="32"/>
          <w:lang w:val="en-US" w:eastAsia="zh-CN" w:bidi="ar-SA"/>
        </w:rPr>
        <w:t>第二章 土地的所有权和使用权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城市市区的土地属于国家所有。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农村和城市郊区的土地，除由法律规定属于国家所有的以外，属于农民集体所有；宅基地和自留地、自留山，属于农民集体所有。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国有土地和农民集体所有的土地，可以依法确定给单位或者个人使用。使用土地的单位和个人，有保护、管理和合理利用土地的义务。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土地的所有权和使用权的登记，依照有关不动产登记的法律、行政法规执行。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依法登记的土地的所有权和使用权受法律保护，任何单位和个人不得侵犯。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国家所有依法用于农业的土地可以由单位或者个人承包经营，从事种植业、林业、畜牧业、渔业生产。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发包方和承包方应当依法订立承包合同，约定双方的权利和义务。承包经营土地的单位和个人，有保护和按照承包合同约定的用途合理利用土地的义务。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土地所有权和使用权争议，由当事人协商解决；协商不成的，由人民政府处理。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单位之间的争议，由县级以上人民政府处理；个人之间、个人与单位之间的争议，由乡级人民政府或者县级以上人民政府处理。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当事人对有关人民政府的处理决定不服的，可以自接到处理决定通知之日起三十日内，向人民法院起诉。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在土地所有权和使用权争议解决前，任何一方不得改变土地利用现状。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bookmarkStart w:id="3" w:name="2724405-2875897-3_4"/>
      <w:bookmarkEnd w:id="3"/>
      <w:r>
        <w:rPr>
          <w:rFonts w:hint="eastAsia" w:ascii="黑体" w:hAnsi="黑体" w:eastAsia="黑体" w:cs="黑体"/>
          <w:sz w:val="32"/>
          <w:szCs w:val="32"/>
          <w:lang w:val="en-US" w:eastAsia="zh-CN" w:bidi="ar-SA"/>
        </w:rPr>
        <w:t>第三章 土地利用总体规划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各级人民政府应当依据国民经济和社会发展规划、国土整治和资源环境保护的要求、土地供给能力以及各项建设对土地的需求，组织编制土地利用总体规划。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土地利用总体规划的规划期限由国务院规定。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下级土地利用总体规划应当依据上一级土地利用总体规划编制。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地方各级人民政府编制的土地利用总体规划中的建设用地总量不得超过上一级土地利用总体规划确定的控制指标，耕地保有量不得低于上一级土地利用总体规划确定的控制指标。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省、自治区、直辖市人民政府编制的土地利用总体规划，应当确保本行政区域内耕地总量不减少。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土地利用总体规划按照下列原则编制：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（一）落实国土空间开发保护要求，严格土地用途管制；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（二）严格保护永久基本农田，严格控制非农业建设占用农用地；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（三）提高土地节约集约利用水平；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（四）统筹安排城乡生产、生活、生态用地，满足乡村产业和基础设施用地合理需求，促进城乡融合发展；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（五）保护和改善生态环境，保障土地的可持续利用；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（六）占用耕地与开发复垦耕地数量平衡、质量相当。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国家建立国土空间规划体系。编制国土空间规划应当坚持生态优先，绿色、可持续发展，科学有序统筹安排生态、农业、城镇等功能空间，优化国土空间结构和布局，提升国土空间开发、保护的质量和效率。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经依法批准的国土空间规划是各类开发、保护、建设活动的基本依据。已经编制国土空间规划的，不再编制土地利用总体规划和城乡规划。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县级土地利用总体规划应当划分土地利用区，明确土地用途。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乡（镇）土地利用总体规划应当划分土地利用区，根据土地使用条件，确定每一块土地的用途，并予以公告。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土地利用总体规划实行分级审批。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省、自治区、直辖市的土地利用总体规划，报国务院批准。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省、自治区人民政府所在地的市、人口在一百万以上的城市以及国务院指定的城市的土地利用总体规划，经省、自治区人民政府审查同意后，报国务院批准。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本条第二款、第三款规定以外的土地利用总体规划，逐级上报省、自治区、直辖市人民政府批准；其中，乡（镇）土地利用总体规划可以由省级人民政府授权的设区的市、自治州人民政府批准。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土地利用总体规划一经批准，必须严格执行。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城市建设用地规模应当符合国家规定的标准，充分利用现有建设用地，不占或者尽量少占农用地。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城市总体规划、村庄和集镇规划，应当与土地利用总体规划相衔接，城市总体规划、村庄和集镇规划中建设用地规模不得超过土地利用总体规划确定的城市和村庄、集镇建设用地规模。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在城市规划区内、村庄和集镇规划区内，城市和村庄、集镇建设用地应当符合城市规划、村庄和集镇规划。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各级人民政府应当加强土地利用计划管理，实行建设用地总量控制。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省、自治区、直辖市人民政府应当将土地利用年度计划的执行情况列为国民经济和社会发展计划执行情况的内容，向同级人民代表大会报告。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经批准的土地利用总体规划的修改，须经原批准机关批准；未经批准，不得改变土地利用总体规划确定的土地用途。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经国务院批准的大型能源、交通、水利等基础设施建设用地，需要改变土地利用总体规划的，根据国务院的批准文件修改土地利用总体规划。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国家建立土地调查制度。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县级以上人民政府自然资源主管部门会同同级有关部门进行土地调查。土地所有者或者使用者应当配合调查，并提供有关资料。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县级以上人民政府自然资源主管部门会同同级有关部门根据土地调查成果、规划土地用途和国家制定的统一标准，评定土地等级。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国家建立土地统计制度。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县级以上人民政府统计机构和自然资源主管部门依法进行土地统计调查，定期发布土地统计资料。土地所有者或者使用者应当提供有关资料，不得拒报、迟报，不得提供不真实、不完整的资料。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统计机构和自然资源主管部门共同发布的土地面积统计资料是各级人民政府编制土地利用总体规划的依据。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国家建立全国土地管理信息系统，对土地利用状况进行动态监测。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bookmarkStart w:id="4" w:name="2724405-2875897-3_5"/>
      <w:bookmarkEnd w:id="4"/>
      <w:r>
        <w:rPr>
          <w:rFonts w:hint="eastAsia" w:ascii="黑体" w:hAnsi="黑体" w:eastAsia="黑体" w:cs="黑体"/>
          <w:sz w:val="32"/>
          <w:szCs w:val="32"/>
          <w:lang w:val="en-US" w:eastAsia="zh-CN" w:bidi="ar-SA"/>
        </w:rPr>
        <w:t>第四章 耕地保护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国家保护耕地，严格控制耕地转为非耕地。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国家实行占用耕地补偿制度。非农业建设经批准占用耕地的，按照</w:t>
      </w:r>
      <w:r>
        <w:rPr>
          <w:rFonts w:hint="default"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eastAsia="zh-CN" w:bidi="ar-SA"/>
        </w:rPr>
        <w:t>占多少，垦多少</w:t>
      </w:r>
      <w:r>
        <w:rPr>
          <w:rFonts w:hint="default"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eastAsia="zh-CN" w:bidi="ar-SA"/>
        </w:rPr>
        <w:t>的原则，由占用耕地的单位负责开垦与所占用耕地的数量和质量相当的耕地；没有条件开垦或者开垦的耕地不符合要求的，应当按照省、自治区、直辖市的规定缴纳耕地开垦费，专款用于开垦新的耕地。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省、自治区、直辖市人民政府应当制定开垦耕地计划，监督占用耕地的单位按照计划开垦耕地或者按照计划组织开垦耕地，并进行验收。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县级以上地方人民政府可以要求占用耕地的单位将所占用耕地耕作层的土壤用于新开垦耕地、劣质地或者其他耕地的土壤改良。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第三十二条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个别省、直辖市确因土地后备资源匮乏，新增建设用地后，新开垦耕地的数量不足以补偿所占用耕地的数量的，必须报经国务院批准减免本行政区域内开垦耕地的数量，易地开垦数量和质量相当的耕地。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第三十三条 国家实行永久基本农田保护制度。下列耕地应当根据土地利用总体规划划为永久基本农田，实行严格保护：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（一）经国务院农业农村主管部门或者县级以上地方人民政府批准确定的粮、棉、油、糖等重要农产品生产基地内的耕地；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（二）有良好的水利与水土保持设施的耕地，正在实施改造计划以及可以改造的中、低产田和已建成的高标准农田；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（三）蔬菜生产基地；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（四）农业科研、教学试验田；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（五）国务院规定应当划为永久基本农田的其他耕地。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各省、自治区、直辖市划定的永久基本农田一般应当占本行政区域内耕地的百分之八十以上，具体比例由国务院根据各省、自治区、直辖市耕地实际情况规定。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第三十四条 永久基本农田划定以乡（镇）为单位进行，由县级人民政府自然资源主管部门会同同级农业农村主管部门组织实施。永久基本农田应当落实到地块，纳入国家永久基本农田数据库严格管理。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乡（镇）人民政府应当将永久基本农田的位置、范围向社会公告，并设立保护标志。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第三十五条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禁止通过擅自调整县级土地利用总体规划、乡（镇）土地利用总体规划等方式规避永久基本农田农用地转用或者土地征收的审批。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第三十六条 各级人民政府应当采取措施，引导因地制宜轮作休耕，改良土壤，提高地力，维护排灌工程设施，防止土地荒漠化、盐渍化、水土流失和土壤污染。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第三十七条 非农业建设必须节约使用土地，可以利用荒地的，不得占用耕地；可以利用劣地的，不得占用好地。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禁止占用耕地建窑、建坟或者擅自在耕地上建房、挖砂、采石、采矿、取土等。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禁止占用永久基本农田发展林果业和挖塘养鱼。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第三十八条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在城市规划区范围内，以出让方式取得土地使用权进行房地产开发的闲置土地，依照《中华人民共和国城市房地产管理法》的有关规定办理。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第三十九条 国家鼓励单位和个人按照土地利用总体规划，在保护和改善生态环境、防止水土流失和土地荒漠化的前提下，开发未利用的土地；适宜开发为农用地的，应当优先开发成农用地。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国家依法保护开发者的合法权益。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第四十条 开垦未利用的土地，必须经过科学论证和评估，在土地利用总体规划划定的可开垦的区域内，经依法批准后进行。禁止毁坏森林、草原开垦耕地，禁止围湖造田和侵占江河滩地。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根据土地利用总体规划，对破坏生态环境开垦、围垦的土地，有计划有步骤地退耕还林、还牧、还湖。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第四十一条 开发未确定使用权的国有荒山、荒地、荒滩从事种植业、林业、畜牧业、渔业生产的，经县级以上人民政府依法批准，可以确定给开发单位或者个人长期使用。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第四十二条 国家鼓励土地整理。县、乡（镇）人民政府应当组织农村集体经济组织，按照土地利用总体规划，对田、水、路、林、村综合整治，提高耕地质量，增加有效耕地面积，改善农业生产条件和生态环境。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地方各级人民政府应当采取措施，改造中、低产田，整治闲散地和废弃地。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第四十三条 因挖损、塌陷、压占等造成土地破坏，用地单位和个人应当按照国家有关规定负责复垦；没有条件复垦或者复垦不符合要求的，应当缴纳土地复垦费，专项用于土地复垦。复垦的土地应当优先用于农业。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bookmarkStart w:id="5" w:name="2724405-2875897-3_6"/>
      <w:bookmarkEnd w:id="5"/>
      <w:r>
        <w:rPr>
          <w:rFonts w:hint="eastAsia" w:ascii="黑体" w:hAnsi="黑体" w:eastAsia="黑体" w:cs="黑体"/>
          <w:sz w:val="32"/>
          <w:szCs w:val="32"/>
          <w:lang w:val="en-US" w:eastAsia="zh-CN" w:bidi="ar-SA"/>
        </w:rPr>
        <w:t>第五章 建设用地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第四十四条 建设占用土地，涉及农用地转为建设用地的，应当办理农用地转用审批手续。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永久基本农田转为建设用地的，由国务院批准。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在土地利用总体规划确定的城市和村庄、集镇建设用地规模范围外，将永久基本农田以外的农用地转为建设用地的，由国务院或者国务院授权的省、自治区、直辖市人民政府批准。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第四十五条 为了公共利益的需要，有下列情形之一，确需征收农民集体所有的土地的，可以依法实施征收：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（一）军事和外交需要用地的；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（二）由政府组织实施的能源、交通、水利、通信、邮政等基础设施建设需要用地的；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（三）由政府组织实施的科技、教育、文化、卫生、体育、生态环境和资源保护、防灾减灾、文物保护、社区综合服务、社会福利、市政公用、优抚安置、英烈保护等公共事业需要用地的；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（四）由政府组织实施的扶贫搬迁、保障性安居工程建设需要用地的；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（五）在土地利用总体规划确定的城镇建设用地范围内，经省级以上人民政府批准由县级以上地方人民政府组织实施的成片开发建设需要用地的；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（六）法律规定为公共利益需要可以征收农民集体所有的土地的其他情形。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第四十六条 征收下列土地的，由国务院批准：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（一）永久基本农田；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（二）永久基本农田以外的耕地超过三十五公顷的；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（三）其他土地超过七十公顷的。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征收前款规定以外的土地的，由省、自治区、直辖市人民政府批准。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第四十七条 国家征收土地的，依照法定程序批准后，由县级以上地方人民政府予以公告并组织实施。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多数被征地的农村集体经济组织成员认为征地补偿安置方案不符合法律、法规规定的，县级以上地方人民政府应当组织召开听证会，并根据法律、法规的规定和听证会情况修改方案。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相关前期工作完成后，县级以上地方人民政府方可申请征收土地。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第四十八条 征收土地应当给予公平、合理的补偿，保障被征地农民原有生活水平不降低、长远生计有保障。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征收土地应当依法及时足额支付土地补偿费、安置补助费以及农村村民住宅、其他地上附着物和青苗等的补偿费用，并安排被征地农民的社会保障费用。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第四十九条 被征地的农村集体经济组织应当将征收土地的补偿费用的收支状况向本集体经济组织的成员公布，接受监督。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禁止侵占、挪用被征收土地单位的征地补偿费用和其他有关费用。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第五十条 地方各级人民政府应当支持被征地的农村集体经济组织和农民从事开发经营，兴办企业。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第五十一条 大中型水利、水电工程建设征收土地的补偿费标准和移民安置办法，由国务院另行规定。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第五十二条 建设项目可行性研究论证时，自然资源主管部门可以根据土地利用总体规划、土地利用年度计划和建设用地标准，对建设用地有关事项进行审查，并提出意见。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第五十三条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第五十四条 建设单位使用国有土地，应当以出让等有偿使用方式取得；但是，下列建设用地，经县级以上人民政府依法批准，可以以划拨方式取得：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（一）国家机关用地和军事用地；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（二）城市基础设施用地和公益事业用地；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（三）国家重点扶持的能源、交通、水利等基础设施用地；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（四）法律、行政法规规定的其他用地。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第五十五条 以出让等有偿使用方式取得国有土地使用权的建设单位，按照国务院规定的标准和办法，缴纳土地使用权出让金等土地有偿使用费和其他费用后，方可使用土地。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自本法施行之日起，新增建设用地的土地有偿使用费，百分之三十上缴中央财政，百分之七十留给有关地方人民政府。具体使用管理办法由国务院财政部门会同有关部门制定，并报国务院批准。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第五十七条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临时使用土地的使用者应当按照临时使用土地合同约定的用途使用土地，并不得修建永久性建筑物。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临时使用土地期限一般不超过二年。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第五十八条 有下列情形之一的，由有关人民政府自然资源主管部门报经原批准用地的人民政府或者有批准权的人民政府批准，可以收回国有土地使用权：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（一）为实施城市规划进行旧城区改建以及其他公共利益需要，确需使用土地的；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（二）土地出让等有偿使用合同约定的使用期限届满，土地使用者未申请续期或者申请续期未获批准的；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（三）因单位撤销、迁移等原因，停止使用原划拨的国有土地的；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（四）公路、铁路、机场、矿场等经核准报废的。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依照前款第（一）项的规定收回国有土地使用权的，对土地使用权人应当给予适当补偿。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按照前款规定兴办企业的建设用地，必须严格控制。省、自治区、直辖市可以按照乡镇企业的不同行业和经营规模，分别规定用地标准。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第六十二条 农村村民一户只能拥有一处宅基地，其宅基地的面积不得超过省、自治区、直辖市规定的标准。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人均土地少、不能保障一户拥有一处宅基地的地区，县级人民政府在充分尊重农村村民意愿的基础上，可以采取措施，按照省、自治区、直辖市规定的标准保障农村村民实现户有所居。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农村村民住宅用地，由乡（镇）人民政府审核批准；其中，涉及占用农用地的，依照本法第四十四条的规定办理审批手续。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农村村民出卖、出租、赠与住宅后，再申请宅基地的，不予批准。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国家允许进城落户的农村村民依法自愿有偿退出宅基地，鼓励农村集体经济组织及其成员盘活利用闲置宅基地和闲置住宅。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国务院农业农村主管部门负责全国农村宅基地改革和管理有关工作。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前款规定的集体经营性建设用地出让、出租等，应当经本集体经济组织成员的村民会议三分之二以上成员或者三分之二以上村民代表的同意。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通过出让等方式取得的集体经营性建设用地使用权可以转让、互换、出资、赠与或者抵押，但法律、行政法规另有规定或者土地所有权人、土地使用权人签订的书面合同另有约定的除外。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集体经营性建设用地的出租，集体建设用地使用权的出让及其最高年限、转让、互换、出资、赠与、抵押等，参照同类用途的国有建设用地执行。具体办法由国务院制定。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第六十四条 集体建设用地的使用者应当严格按照土地利用总体规划、城乡规划确定的用途使用土地。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第六十五条 在土地利用总体规划制定前已建的不符合土地利用总体规划确定的用途的建筑物、构筑物，不得重建、扩建。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第六十六条 有下列情形之一的，农村集体经济组织报经原批准用地的人民政府批准，可以收回土地使用权：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（一）为乡（镇）村公共设施和公益事业建设，需要使用土地的；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（二）不按照批准的用途使用土地的；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（三）因撤销、迁移等原因而停止使用土地的。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依照前款第（一）项规定收回农民集体所有的土地的，对土地使用权人应当给予适当补偿。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收回集体经营性建设用地使用权，依照双方签订的书面合同办理，法律、行政法规另有规定的除外。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bookmarkStart w:id="6" w:name="2724405-2875897-3_7"/>
      <w:bookmarkEnd w:id="6"/>
      <w:r>
        <w:rPr>
          <w:rFonts w:hint="eastAsia" w:ascii="黑体" w:hAnsi="黑体" w:eastAsia="黑体" w:cs="黑体"/>
          <w:sz w:val="32"/>
          <w:szCs w:val="32"/>
          <w:lang w:val="en-US" w:eastAsia="zh-CN" w:bidi="ar-SA"/>
        </w:rPr>
        <w:t>第六章 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第六十七条 县级以上人民政府自然资源主管部门对违反土地管理法律、法规的行为进行监督检查。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县级以上人民政府农业农村主管部门对违反农村宅基地管理法律、法规的行为进行监督检查的，适用本法关于自然资源主管部门监督检查的规定。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土地管理监督检查人员应当熟悉土地管理法律、法规，忠于职守、秉公执法。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第六十八条 县级以上人民政府自然资源主管部门履行监督检查职责时，有权采取下列措施：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（一）要求被检查的单位或者个人提供有关土地权利的文件和资料，进行查阅或者予以复制；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（二）要求被检查的单位或者个人就有关土地权利的问题作出说明；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（三）进入被检查单位或者个人非法占用的土地现场进行勘测；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（四）责令非法占用土地的单位或者个人停止违反土地管理法律、法规的行为。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第六十九条 土地管理监督检查人员履行职责，需要进入现场进行勘测、要求有关单位或者个人提供文件、资料和作出说明的，应当出示土地管理监督检查证件。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第七十条 有关单位和个人对县级以上人民政府自然资源主管部门就土地违法行为进行的监督检查应当支持与配合，并提供工作方便，不得拒绝与阻碍土地管理监督检查人员依法执行职务。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第七十一条 县级以上人民政府自然资源主管部门在监督检查工作中发现国家工作人员的违法行为，依法应当给予处分的，应当依法予以处理；自己无权处理的，应当依法移送监察机关或者有关机关处理。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第七十二条 县级以上人民政府自然资源主管部门在监督检查工作中发现土地违法行为构成犯罪的，应当将案件移送有关机关，依法追究刑事责任；尚不构成犯罪的，应当依法给予行政处罚。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第七十三条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bookmarkStart w:id="7" w:name="2724405-2875897-3_8"/>
      <w:bookmarkEnd w:id="7"/>
      <w:r>
        <w:rPr>
          <w:rFonts w:hint="eastAsia" w:ascii="黑体" w:hAnsi="黑体" w:eastAsia="黑体" w:cs="黑体"/>
          <w:sz w:val="32"/>
          <w:szCs w:val="32"/>
          <w:lang w:val="en-US" w:eastAsia="zh-CN" w:bidi="ar-SA"/>
        </w:rPr>
        <w:t>第七章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第七十六条 违反本法规定，拒不履行土地复垦义务的，由县级以上人民政府自然资源主管部门责令限期改正；逾期不改正的，责令缴纳复垦费，专项用于土地复垦，可以处以罚款。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超过批准的数量占用土地，多占的土地以非法占用土地论处。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第七十八条 农村村民未经批准或者采取欺骗手段骗取批准，非法占用土地建住宅的，由县级以上人民政府农业农村主管部门责令退还非法占用的土地，限期拆除在非法占用的土地上新建的房屋。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超过省、自治区、直辖市规定的标准，多占的土地以非法占用土地论处。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非法批准征收、使用土地，对当事人造成损失的，依法应当承担赔偿责任。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第八十条 侵占、挪用被征收土地单位的征地补偿费用和其他有关费用，构成犯罪的，依法追究刑事责任；尚不构成犯罪的，依法给予处分。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第八十一条 依法收回国有土地使用权当事人拒不交出土地的，临时使用土地期满拒不归还的，或者不按照批准的用途使用国有土地的，由县级以上人民政府自然资源主管部门责令交还土地，处以罚款。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第八十四条 自然资源主管部门、农业农村主管部门的工作人员玩忽职守、滥用职权、徇私舞弊，构成犯罪的，依法追究刑事责任；尚不构成犯罪的，依法给予处分。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57BEC"/>
    <w:rsid w:val="3B65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2022-09-20T03:25:00Z</dcterms:created>
  <dc:creator>郭玲梅</dc:creator>
  <cp:lastModifiedBy>郭玲梅</cp:lastModifiedBy>
  <dcterms:modified xsi:type="dcterms:W3CDTF">2022-09-20T03:30:51Z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